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DCC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 xml:space="preserve">Hemokoagulace a </w:t>
      </w:r>
      <w:proofErr w:type="spellStart"/>
      <w:r>
        <w:rPr>
          <w:rFonts w:ascii="Open Sans" w:hAnsi="Open Sans" w:cs="Open Sans"/>
          <w:b/>
          <w:bCs/>
          <w:color w:val="E40521"/>
        </w:rPr>
        <w:t>fibrinolýza</w:t>
      </w:r>
      <w:proofErr w:type="spellEnd"/>
    </w:p>
    <w:p w14:paraId="02ABE840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projektu je popsání vztahů mezi jednotlivými složkami koagulační kaskády a jejich ovlivnění patofyziologickými podmínkami (např. oxidačním stresem). Koagulaci studujeme od aktivace serinových proteáz, přes dynamiku vzniku a strukturu vzniklé fibrinové sítě, až po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fibrinolýzu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. Ke studiu používáme nejen obvyklé koagulační metody, ale i nové přístupy v podobě hmotnostní spektrometrie či elektronové mikroskopie a metod strukturní biologie. Získané poznatky jsou aplikovány ve vývoji nových diagnostických přístupů u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koagulopatií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(např. hluboká žilní trombóza, plicní embolie, infarkt myokardu, trombotické komplikace při COVID-19).</w:t>
      </w:r>
    </w:p>
    <w:p w14:paraId="17F98A43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>Charakterizace poruch fibrinogenu</w:t>
      </w:r>
    </w:p>
    <w:p w14:paraId="5B39E9DB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U pacientů se suspektní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dysfibrinogenemií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hypofibrinogenemií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z celé ČR vyšetřujeme všechny exony genů kódující fibrinogen (FGA, FGB a FGG). V případě nálezu mutace zkoumáme její vliv na změnu struktury a funkce fibrinogenu pomocí specializovaných vyšetření (polymerační křivky, kvantifikace odštěpování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fibrinopeptidů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pomocí HPLC, SEM, LC-MS/MS, strukturní modelování). Celkově bylo zatím u nás na pracovišti identifikováno přes 100 případů z více než 70 rodin, z toho je 16 mutací nově objevených.</w:t>
      </w:r>
    </w:p>
    <w:p w14:paraId="57CD6C45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>Počítačové modelování</w:t>
      </w:r>
    </w:p>
    <w:p w14:paraId="7EBF7A9D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>Teoretické metody strukturní biologie, jako je molekulární modelování a molekulární dynamika, používáme především ke studiu fibrinogenu a jeho interakcí s dalšími molekulami v krvi. Konkrétně se jedná o studium vlivu post-translačních modifikací a mutací na strukturu a funkci fibrinogenu, popis interakcí fibrinogenu s trombinem a hemostatickými hadími jedy a předpověď struktury částí fibrinogenu, které se nepodařilo určit experimentálními metodami. Při práci využíváme i metody sekvenční a fylogenetické analýzy.</w:t>
      </w:r>
    </w:p>
    <w:p w14:paraId="12CFDA4A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proofErr w:type="spellStart"/>
      <w:r>
        <w:rPr>
          <w:rFonts w:ascii="Open Sans" w:hAnsi="Open Sans" w:cs="Open Sans"/>
          <w:b/>
          <w:bCs/>
          <w:color w:val="E40521"/>
        </w:rPr>
        <w:t>Metabolomika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plazmy/séra/buněčných extraktů u </w:t>
      </w:r>
      <w:proofErr w:type="spellStart"/>
      <w:r>
        <w:rPr>
          <w:rFonts w:ascii="Open Sans" w:hAnsi="Open Sans" w:cs="Open Sans"/>
          <w:b/>
          <w:bCs/>
          <w:color w:val="E40521"/>
        </w:rPr>
        <w:t>onkohematologických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a jiných onemocnění</w:t>
      </w:r>
    </w:p>
    <w:p w14:paraId="4AF60919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>Pomocí spojení kapalinové chromatografie s tandemovou hmotnostní spektrometrií (LC-MS/MS) se zabýváme cílenou analýzou nízkomolekulárních látek. Konkrétně studujeme změny v koncentracích metabolitů glykolýzy, citrátového cyklu, energetického poolu, metabolismu karnitinu, tryptofanu a vybraných aminokyselin. Nalezli jsme rozdíly u pacientů s akutní myeloidní leukémií (AML) v závislosti na průběhu onemocnění. Dále se zabýváme monitorováním markerů oxidačního stresu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malondialdehydu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, kyseliny močové, </w:t>
      </w:r>
      <w:proofErr w:type="spellStart"/>
      <w:proofErr w:type="gramStart"/>
      <w:r>
        <w:rPr>
          <w:rFonts w:ascii="Open Sans" w:hAnsi="Open Sans" w:cs="Open Sans"/>
          <w:color w:val="3E3E3E"/>
          <w:sz w:val="21"/>
          <w:szCs w:val="21"/>
        </w:rPr>
        <w:t>allantoinu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>,</w:t>
      </w:r>
      <w:proofErr w:type="gramEnd"/>
      <w:r>
        <w:rPr>
          <w:rFonts w:ascii="Open Sans" w:hAnsi="Open Sans" w:cs="Open Sans"/>
          <w:color w:val="3E3E3E"/>
          <w:sz w:val="21"/>
          <w:szCs w:val="21"/>
        </w:rPr>
        <w:t xml:space="preserve"> atd.). Pro analýzu karbonylace bílkovin využíváme spektrofotometrické stanovení.</w:t>
      </w:r>
    </w:p>
    <w:p w14:paraId="5BC7D11B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 xml:space="preserve">Protein-protein interakce pomocí povrchové </w:t>
      </w:r>
      <w:proofErr w:type="spellStart"/>
      <w:r>
        <w:rPr>
          <w:rFonts w:ascii="Open Sans" w:hAnsi="Open Sans" w:cs="Open Sans"/>
          <w:b/>
          <w:bCs/>
          <w:color w:val="E40521"/>
        </w:rPr>
        <w:t>plasmonové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rezonance (SPR)</w:t>
      </w:r>
    </w:p>
    <w:p w14:paraId="1BADEE86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práce je navrhnout diagnostickou SPR metodu a proteinový čip k přesnější stratifikaci podskupin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onkohematologického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či jiného onemocnění. Navrhli jsme proteinový (mikro) čip, který analyzuje interakce mezi proteiny spojenými s patogenezí daného onemocnění a </w:t>
      </w:r>
      <w:r>
        <w:rPr>
          <w:rFonts w:ascii="Open Sans" w:hAnsi="Open Sans" w:cs="Open Sans"/>
          <w:color w:val="3E3E3E"/>
          <w:sz w:val="21"/>
          <w:szCs w:val="21"/>
        </w:rPr>
        <w:lastRenderedPageBreak/>
        <w:t xml:space="preserve">plazmatickým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proteomem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pacientů. Další navržený Hsp70 trap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micro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) čip využívá pět odlišných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subcelulárních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chaperonů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Hsp70 rodiny a slouží k detekci poškozeného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subproteomu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pacientů. Proteinový (mikro) čip již prokázal schopnost rozlišovat mezi různými podskupinami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myelodysplastického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syndromu (MDS) a zdravými dárci, zatímco Hsp70 trap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micro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>) čip prokázal schopnost rozlišovat MDS pacienty s nízkým a vysokým rizikem. Identifikace interagujících proteinů pomocí hmotnostní spektrometrie odhalila další vhodné kandidáty ke zvýšení diagnostické citlivosti proteinového čipu.</w:t>
      </w:r>
    </w:p>
    <w:p w14:paraId="7AA44BDD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proofErr w:type="spellStart"/>
      <w:r>
        <w:rPr>
          <w:rFonts w:ascii="Open Sans" w:hAnsi="Open Sans" w:cs="Open Sans"/>
          <w:b/>
          <w:bCs/>
          <w:color w:val="E40521"/>
        </w:rPr>
        <w:t>Proteomika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krevních buněk a ostatních složek krve</w:t>
      </w:r>
    </w:p>
    <w:p w14:paraId="0BFF5E8A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práce je objasnění fyziologických a patofyziologických pochodů u vybraných chorob nebo využití poznatků v diagnostice či monitorování léčby. Hlavním zaměřením jsou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onkohematologická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onemocnění (např.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myelodysplastický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syndrom), ale také další onemocnění (např. kardiovaskulární choroby). Další oblastí výzkumu je sledování interakcí umělých (polymerních) povrchů s krví s využitím poznatků v širokém spektru oblastí od konstrukce diagnostických nástrojů po biomedicínu (tkáňové inženýrství, </w:t>
      </w:r>
      <w:proofErr w:type="gramStart"/>
      <w:r>
        <w:rPr>
          <w:rFonts w:ascii="Open Sans" w:hAnsi="Open Sans" w:cs="Open Sans"/>
          <w:color w:val="3E3E3E"/>
          <w:sz w:val="21"/>
          <w:szCs w:val="21"/>
        </w:rPr>
        <w:t>implantáty,</w:t>
      </w:r>
      <w:proofErr w:type="gramEnd"/>
      <w:r>
        <w:rPr>
          <w:rFonts w:ascii="Open Sans" w:hAnsi="Open Sans" w:cs="Open Sans"/>
          <w:color w:val="3E3E3E"/>
          <w:sz w:val="21"/>
          <w:szCs w:val="21"/>
        </w:rPr>
        <w:t xml:space="preserve"> atd.).</w:t>
      </w:r>
    </w:p>
    <w:p w14:paraId="27C6D510" w14:textId="77777777" w:rsidR="00E32DEB" w:rsidRDefault="00E32DEB"/>
    <w:sectPr w:rsidR="00E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9B"/>
    <w:rsid w:val="0003549B"/>
    <w:rsid w:val="00262BFD"/>
    <w:rsid w:val="00E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389A"/>
  <w15:chartTrackingRefBased/>
  <w15:docId w15:val="{F8B0B322-A6A3-4A90-A3C3-25F6C76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5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35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0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5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Alžběta</dc:creator>
  <cp:keywords/>
  <dc:description/>
  <cp:lastModifiedBy>Preislerová Jana</cp:lastModifiedBy>
  <cp:revision>2</cp:revision>
  <dcterms:created xsi:type="dcterms:W3CDTF">2022-11-21T13:14:00Z</dcterms:created>
  <dcterms:modified xsi:type="dcterms:W3CDTF">2023-09-05T09:46:00Z</dcterms:modified>
</cp:coreProperties>
</file>